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6AE7E" w14:textId="6D4A071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F34EE">
        <w:t>56479</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71B3B06B" w14:textId="77777777" w:rsidTr="00CC0624">
        <w:trPr>
          <w:trHeight w:val="576"/>
        </w:trPr>
        <w:tc>
          <w:tcPr>
            <w:tcW w:w="4590" w:type="dxa"/>
          </w:tcPr>
          <w:bookmarkStart w:id="2" w:name="DocumentStyle"/>
          <w:p w14:paraId="5D30BDD6" w14:textId="3F93F248" w:rsidR="00E710D3" w:rsidRPr="00E710D3" w:rsidRDefault="001E3AA6" w:rsidP="00912358">
            <w:pPr>
              <w:spacing w:after="0" w:line="240" w:lineRule="auto"/>
              <w:ind w:firstLine="0"/>
              <w:jc w:val="left"/>
              <w:rPr>
                <w:b/>
                <w:szCs w:val="20"/>
              </w:rPr>
            </w:pPr>
            <w:sdt>
              <w:sdtPr>
                <w:rPr>
                  <w:b/>
                  <w:caps/>
                  <w:szCs w:val="20"/>
                </w:rPr>
                <w:alias w:val="Case Style"/>
                <w:tag w:val="CS"/>
                <w:id w:val="-920102863"/>
                <w:placeholder>
                  <w:docPart w:val="84FF3CC8AC404939B842BCA3F49D7FD5"/>
                </w:placeholder>
                <w15:appearance w15:val="hidden"/>
              </w:sdtPr>
              <w:sdtEndPr/>
              <w:sdtContent>
                <w:r w:rsidR="001F34EE">
                  <w:rPr>
                    <w:b/>
                    <w:caps/>
                    <w:szCs w:val="20"/>
                  </w:rPr>
                  <w:t>APPLICATION OF HORSESHOE BEND WATER COMPANY FOR GOOD CAUSE EXCEPTION TO EXTEND THE TIME TO FILE ITS RATE APPLICATION IN ACCORDANCE WITH THE NOTICE OF APPROVAL IN DOCKET NO. 50085</w:t>
                </w:r>
              </w:sdtContent>
            </w:sdt>
            <w:bookmarkEnd w:id="2"/>
            <w:r w:rsidR="00912358">
              <w:rPr>
                <w:b/>
                <w:caps/>
                <w:szCs w:val="20"/>
              </w:rPr>
              <w:t xml:space="preserve"> </w:t>
            </w:r>
          </w:p>
        </w:tc>
        <w:tc>
          <w:tcPr>
            <w:tcW w:w="572" w:type="dxa"/>
            <w:noWrap/>
          </w:tcPr>
          <w:p w14:paraId="208244E5" w14:textId="77777777" w:rsidR="001F34EE" w:rsidRDefault="001F34EE" w:rsidP="008647EB">
            <w:pPr>
              <w:spacing w:after="0" w:line="240" w:lineRule="auto"/>
              <w:ind w:firstLine="0"/>
              <w:rPr>
                <w:b/>
                <w:szCs w:val="20"/>
              </w:rPr>
            </w:pPr>
            <w:r>
              <w:rPr>
                <w:b/>
                <w:szCs w:val="20"/>
              </w:rPr>
              <w:t>§</w:t>
            </w:r>
          </w:p>
          <w:p w14:paraId="68369CC9" w14:textId="77777777" w:rsidR="001F34EE" w:rsidRDefault="001F34EE" w:rsidP="008647EB">
            <w:pPr>
              <w:spacing w:after="0" w:line="240" w:lineRule="auto"/>
              <w:ind w:firstLine="0"/>
              <w:rPr>
                <w:b/>
                <w:szCs w:val="20"/>
              </w:rPr>
            </w:pPr>
            <w:r>
              <w:rPr>
                <w:b/>
                <w:szCs w:val="20"/>
              </w:rPr>
              <w:t>§</w:t>
            </w:r>
          </w:p>
          <w:p w14:paraId="66217580" w14:textId="77777777" w:rsidR="001F34EE" w:rsidRDefault="001F34EE" w:rsidP="008647EB">
            <w:pPr>
              <w:spacing w:after="0" w:line="240" w:lineRule="auto"/>
              <w:ind w:firstLine="0"/>
              <w:rPr>
                <w:b/>
                <w:szCs w:val="20"/>
              </w:rPr>
            </w:pPr>
            <w:r>
              <w:rPr>
                <w:b/>
                <w:szCs w:val="20"/>
              </w:rPr>
              <w:t>§</w:t>
            </w:r>
          </w:p>
          <w:p w14:paraId="698672C1" w14:textId="77777777" w:rsidR="001F34EE" w:rsidRDefault="001F34EE" w:rsidP="008647EB">
            <w:pPr>
              <w:spacing w:after="0" w:line="240" w:lineRule="auto"/>
              <w:ind w:firstLine="0"/>
              <w:rPr>
                <w:b/>
                <w:szCs w:val="20"/>
              </w:rPr>
            </w:pPr>
            <w:r>
              <w:rPr>
                <w:b/>
                <w:szCs w:val="20"/>
              </w:rPr>
              <w:t>§</w:t>
            </w:r>
          </w:p>
          <w:p w14:paraId="585829AC" w14:textId="77777777" w:rsidR="001F34EE" w:rsidRDefault="001F34EE" w:rsidP="008647EB">
            <w:pPr>
              <w:spacing w:after="0" w:line="240" w:lineRule="auto"/>
              <w:ind w:firstLine="0"/>
              <w:rPr>
                <w:b/>
                <w:szCs w:val="20"/>
              </w:rPr>
            </w:pPr>
            <w:r>
              <w:rPr>
                <w:b/>
                <w:szCs w:val="20"/>
              </w:rPr>
              <w:t>§</w:t>
            </w:r>
          </w:p>
          <w:p w14:paraId="4035FD9D" w14:textId="77777777" w:rsidR="001F34EE" w:rsidRDefault="001F34EE" w:rsidP="008647EB">
            <w:pPr>
              <w:spacing w:after="0" w:line="240" w:lineRule="auto"/>
              <w:ind w:firstLine="0"/>
              <w:rPr>
                <w:b/>
                <w:szCs w:val="20"/>
              </w:rPr>
            </w:pPr>
            <w:r>
              <w:rPr>
                <w:b/>
                <w:szCs w:val="20"/>
              </w:rPr>
              <w:t>§</w:t>
            </w:r>
          </w:p>
          <w:p w14:paraId="7E4F1F8D" w14:textId="724F581C" w:rsidR="00DA790F" w:rsidRPr="008647EB" w:rsidRDefault="001F34EE" w:rsidP="008647EB">
            <w:pPr>
              <w:spacing w:after="0" w:line="240" w:lineRule="auto"/>
              <w:ind w:firstLine="0"/>
              <w:rPr>
                <w:b/>
                <w:szCs w:val="20"/>
              </w:rPr>
            </w:pPr>
            <w:r>
              <w:rPr>
                <w:b/>
                <w:szCs w:val="20"/>
              </w:rPr>
              <w:t>§</w:t>
            </w:r>
          </w:p>
        </w:tc>
        <w:tc>
          <w:tcPr>
            <w:tcW w:w="4198" w:type="dxa"/>
          </w:tcPr>
          <w:p w14:paraId="3C7A66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ECA570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37885D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583E9F1" w14:textId="77777777" w:rsidR="00DA790F" w:rsidRPr="008647EB" w:rsidRDefault="00DA790F" w:rsidP="008647EB">
      <w:pPr>
        <w:spacing w:after="0" w:line="240" w:lineRule="auto"/>
        <w:ind w:firstLine="0"/>
        <w:jc w:val="center"/>
        <w:rPr>
          <w:b/>
          <w:caps/>
        </w:rPr>
      </w:pPr>
    </w:p>
    <w:p w14:paraId="00B279C7" w14:textId="0C5FB9BA" w:rsidR="00DA790F" w:rsidRPr="008647EB" w:rsidRDefault="001F34EE" w:rsidP="008C04AB">
      <w:pPr>
        <w:pStyle w:val="CaseCaption"/>
      </w:pPr>
      <w:r>
        <w:t>commission staff’s brief in response to order no. 5</w:t>
      </w:r>
    </w:p>
    <w:p w14:paraId="66B4B90A" w14:textId="6AF7966C" w:rsidR="001F34EE" w:rsidRDefault="001F34EE" w:rsidP="001F34EE">
      <w:pPr>
        <w:pStyle w:val="Heading1"/>
        <w:tabs>
          <w:tab w:val="clear" w:pos="1440"/>
        </w:tabs>
        <w:ind w:left="0" w:right="0"/>
      </w:pPr>
      <w:r>
        <w:t>INTRODUCTION</w:t>
      </w:r>
    </w:p>
    <w:p w14:paraId="59F675BF" w14:textId="49AE6710" w:rsidR="00F54DF7" w:rsidRDefault="00A96ED2" w:rsidP="00A96ED2">
      <w:pPr>
        <w:pStyle w:val="Paragraph"/>
        <w:rPr>
          <w:iCs/>
        </w:rPr>
      </w:pPr>
      <w:r>
        <w:rPr>
          <w:iCs/>
        </w:rPr>
        <w:t>On April 12, 2024, Horseshoe Bend Water Company filed an application for a good-cause exception to extend the time to file its rate-change application as ordered in Docket No. 50085,</w:t>
      </w:r>
      <w:r>
        <w:rPr>
          <w:rStyle w:val="FootnoteReference"/>
          <w:iCs/>
        </w:rPr>
        <w:footnoteReference w:id="2"/>
      </w:r>
      <w:r>
        <w:rPr>
          <w:iCs/>
        </w:rPr>
        <w:t xml:space="preserve"> to April 1, 2025. The notice of approval in Docket No. 50085 included Ordering Paragraph No. 9 which ordered Horseshoe Bend to file a comprehensive base-rate proceeding within 18 months of the notice of approval.</w:t>
      </w:r>
    </w:p>
    <w:p w14:paraId="5F1011E7" w14:textId="71846EAE" w:rsidR="00F54DF7" w:rsidRPr="004B6D44" w:rsidRDefault="00F54DF7" w:rsidP="00F54DF7">
      <w:pPr>
        <w:pStyle w:val="Paragraph"/>
        <w:rPr>
          <w:iCs/>
        </w:rPr>
      </w:pPr>
      <w:r>
        <w:rPr>
          <w:iCs/>
        </w:rPr>
        <w:t xml:space="preserve">On </w:t>
      </w:r>
      <w:r w:rsidR="00A96ED2">
        <w:rPr>
          <w:iCs/>
        </w:rPr>
        <w:t>August 29, 2024</w:t>
      </w:r>
      <w:r w:rsidR="007E3A22">
        <w:rPr>
          <w:iCs/>
        </w:rPr>
        <w:t xml:space="preserve">, </w:t>
      </w:r>
      <w:r>
        <w:rPr>
          <w:iCs/>
        </w:rPr>
        <w:t xml:space="preserve">the administrative law judge (ALJ) filed Order No. </w:t>
      </w:r>
      <w:r w:rsidR="00A96ED2">
        <w:rPr>
          <w:iCs/>
        </w:rPr>
        <w:t>5</w:t>
      </w:r>
      <w:r>
        <w:rPr>
          <w:iCs/>
        </w:rPr>
        <w:t>,</w:t>
      </w:r>
      <w:r w:rsidRPr="00D94E7F">
        <w:t xml:space="preserve"> </w:t>
      </w:r>
      <w:r>
        <w:t xml:space="preserve">directing the Staff (Staff) of the Public Utility Commission of Texas (Commission) to </w:t>
      </w:r>
      <w:r w:rsidR="00283726">
        <w:t xml:space="preserve">file briefing addressing the questions presented in that Order </w:t>
      </w:r>
      <w:r>
        <w:t xml:space="preserve">by </w:t>
      </w:r>
      <w:r w:rsidR="00A96ED2">
        <w:t>September 19, 2024</w:t>
      </w:r>
      <w:r>
        <w:t>. Therefore, this pleading is timely filed.</w:t>
      </w:r>
    </w:p>
    <w:p w14:paraId="068BB758" w14:textId="0AAAFCC8" w:rsidR="00FE5A24" w:rsidRDefault="00A96ED2" w:rsidP="00B50F0E">
      <w:pPr>
        <w:pStyle w:val="Heading1"/>
        <w:tabs>
          <w:tab w:val="clear" w:pos="1440"/>
        </w:tabs>
        <w:ind w:left="0" w:right="0"/>
      </w:pPr>
      <w:r>
        <w:t>BACKGROUND</w:t>
      </w:r>
    </w:p>
    <w:p w14:paraId="39055814" w14:textId="0EF1330C" w:rsidR="00F54DF7" w:rsidRDefault="004130B7" w:rsidP="00F54DF7">
      <w:pPr>
        <w:pStyle w:val="Paragraph"/>
      </w:pPr>
      <w:r>
        <w:t xml:space="preserve">The Texas Commission on Environmental Quality </w:t>
      </w:r>
      <w:r w:rsidR="00F86A3B">
        <w:t xml:space="preserve">first </w:t>
      </w:r>
      <w:r>
        <w:t xml:space="preserve">appointed Mark Patterson (Mr. Patterson) as temporary manager for Horseshoe Bend Water System, owned and operated by </w:t>
      </w:r>
      <w:r w:rsidR="002D7902">
        <w:t>Castle Water, Inc.,</w:t>
      </w:r>
      <w:r>
        <w:t xml:space="preserve"> by emergency order on July 3, 2019</w:t>
      </w:r>
      <w:r w:rsidR="000E130D">
        <w:t>,</w:t>
      </w:r>
      <w:r>
        <w:t xml:space="preserve"> and again on December 30, 2019. The Commission </w:t>
      </w:r>
      <w:r w:rsidR="00F86A3B">
        <w:t xml:space="preserve">then </w:t>
      </w:r>
      <w:r>
        <w:t>appointed Mr. Patterson as the temporary manager beginning June 27, 2020 until the Commission ordered otherwise.</w:t>
      </w:r>
      <w:r w:rsidR="00BE3479">
        <w:rPr>
          <w:rStyle w:val="FootnoteReference"/>
        </w:rPr>
        <w:footnoteReference w:id="3"/>
      </w:r>
      <w:r>
        <w:t xml:space="preserve"> </w:t>
      </w:r>
      <w:r w:rsidR="002D7902">
        <w:t xml:space="preserve">On October 10, 2019, during Mr. Patterson’s temporary management of Horseshoe Bend Water System, Castle Water and </w:t>
      </w:r>
      <w:r>
        <w:t>Horseshoe Bend Water Company</w:t>
      </w:r>
      <w:r w:rsidR="002D7902">
        <w:t xml:space="preserve"> filed an application</w:t>
      </w:r>
      <w:r w:rsidR="00F86A3B">
        <w:t xml:space="preserve"> (</w:t>
      </w:r>
      <w:r w:rsidR="00F328DE">
        <w:t xml:space="preserve">the </w:t>
      </w:r>
      <w:r w:rsidR="00F86A3B">
        <w:t>STM application)</w:t>
      </w:r>
      <w:r w:rsidR="002D7902">
        <w:t xml:space="preserve"> seeking to transfer Castle Water’s water </w:t>
      </w:r>
      <w:r w:rsidR="002D7902">
        <w:lastRenderedPageBreak/>
        <w:t>facilities and service area to Horseshoe Bend</w:t>
      </w:r>
      <w:r w:rsidR="00C52F9B">
        <w:t xml:space="preserve"> Water Company</w:t>
      </w:r>
      <w:r w:rsidR="002D7902">
        <w:t>.</w:t>
      </w:r>
      <w:r w:rsidR="002D7902">
        <w:rPr>
          <w:rStyle w:val="FootnoteReference"/>
        </w:rPr>
        <w:footnoteReference w:id="4"/>
      </w:r>
      <w:r w:rsidR="002D7902">
        <w:t xml:space="preserve"> While this transaction was pending, Mr. Patterson filed an application for temporary rates.</w:t>
      </w:r>
      <w:r w:rsidR="002D7902">
        <w:rPr>
          <w:rStyle w:val="FootnoteReference"/>
        </w:rPr>
        <w:footnoteReference w:id="5"/>
      </w:r>
      <w:r w:rsidR="002D7902">
        <w:t xml:space="preserve"> </w:t>
      </w:r>
    </w:p>
    <w:p w14:paraId="4F4C2583" w14:textId="6D8E9068" w:rsidR="002D7902" w:rsidRPr="00F54DF7" w:rsidRDefault="00F86A3B" w:rsidP="00F54DF7">
      <w:pPr>
        <w:pStyle w:val="Paragraph"/>
      </w:pPr>
      <w:r>
        <w:t>In the final order for t</w:t>
      </w:r>
      <w:r w:rsidR="002D7902">
        <w:t>he temporary rates</w:t>
      </w:r>
      <w:r>
        <w:t>, the rates</w:t>
      </w:r>
      <w:r w:rsidR="002D7902">
        <w:t xml:space="preserve"> ordered were effective on the date the Commission filed a final order in </w:t>
      </w:r>
      <w:r>
        <w:t>the STM application</w:t>
      </w:r>
      <w:r w:rsidR="002D7902">
        <w:t>.</w:t>
      </w:r>
      <w:r w:rsidR="003B6DBD">
        <w:rPr>
          <w:rStyle w:val="FootnoteReference"/>
        </w:rPr>
        <w:footnoteReference w:id="6"/>
      </w:r>
      <w:r w:rsidR="002D7902">
        <w:t xml:space="preserve"> The final order </w:t>
      </w:r>
      <w:r>
        <w:t>for the STM application</w:t>
      </w:r>
      <w:r w:rsidR="003B6DBD">
        <w:t xml:space="preserve"> was filed on November 29, 2022 and ordered that the temporary rates approved </w:t>
      </w:r>
      <w:r>
        <w:t>earlier</w:t>
      </w:r>
      <w:r w:rsidR="003B6DBD">
        <w:t xml:space="preserve"> remain in place for 18 months and that Horseshoe Bend file a comprehensive base-rate proceeding within 18 months of the date of the final order.</w:t>
      </w:r>
      <w:r w:rsidR="003B6DBD">
        <w:rPr>
          <w:rStyle w:val="FootnoteReference"/>
        </w:rPr>
        <w:footnoteReference w:id="7"/>
      </w:r>
      <w:r w:rsidR="003B6DBD">
        <w:t xml:space="preserve"> The 18-month deadline for the temporary rates and the filing of the comprehensive base-rate proceeding was May 29, 2024.</w:t>
      </w:r>
    </w:p>
    <w:p w14:paraId="1D10B815" w14:textId="1146C8D7" w:rsidR="00F54DF7" w:rsidRDefault="00C46A69" w:rsidP="00B50F0E">
      <w:pPr>
        <w:pStyle w:val="Heading1"/>
        <w:tabs>
          <w:tab w:val="clear" w:pos="1440"/>
        </w:tabs>
        <w:ind w:left="0" w:right="0"/>
      </w:pPr>
      <w:r>
        <w:t>STAFF’S BRIEFING</w:t>
      </w:r>
    </w:p>
    <w:p w14:paraId="47128B48" w14:textId="49CE0E7B" w:rsidR="0067031F" w:rsidRDefault="0067031F" w:rsidP="0067031F">
      <w:pPr>
        <w:pStyle w:val="Paragraph"/>
      </w:pPr>
      <w:r>
        <w:t>Order No. 5 requested briefing regarding the following questions:</w:t>
      </w:r>
    </w:p>
    <w:p w14:paraId="20EAF9BB" w14:textId="553D185E" w:rsidR="0067031F" w:rsidRPr="0067031F" w:rsidRDefault="0067031F" w:rsidP="0067031F">
      <w:pPr>
        <w:pStyle w:val="ListParagraph"/>
        <w:numPr>
          <w:ilvl w:val="0"/>
          <w:numId w:val="27"/>
        </w:numPr>
        <w:spacing w:line="240" w:lineRule="auto"/>
        <w:ind w:left="1440" w:right="720" w:hanging="720"/>
      </w:pPr>
      <w:r w:rsidRPr="0067031F">
        <w:t>[H]ow this matter is distinguishable from Docket No. 54017,</w:t>
      </w:r>
      <w:r w:rsidR="002E1715">
        <w:rPr>
          <w:rStyle w:val="FootnoteReference"/>
        </w:rPr>
        <w:footnoteReference w:id="8"/>
      </w:r>
      <w:r w:rsidRPr="0067031F">
        <w:t xml:space="preserve"> a case in which the Commission denied a utility’s request to extend the date to file a rate application after being ordered in a prior docket, and in light of Chairman Gleeson’s July 10, 2024 memorandum in Docket No. 55995</w:t>
      </w:r>
      <w:r w:rsidR="002E1715">
        <w:rPr>
          <w:rStyle w:val="FootnoteReference"/>
        </w:rPr>
        <w:footnoteReference w:id="9"/>
      </w:r>
      <w:r w:rsidRPr="0067031F">
        <w:t xml:space="preserve"> asserting that there is no legal basis for granting a good-cause exception to the requirements of a Commission final order.</w:t>
      </w:r>
    </w:p>
    <w:p w14:paraId="2572B5AD" w14:textId="639398AD" w:rsidR="00F54DF7" w:rsidRDefault="0067031F" w:rsidP="00D11931">
      <w:pPr>
        <w:pStyle w:val="Paragraph"/>
      </w:pPr>
      <w:r>
        <w:t xml:space="preserve">First, Horseshoe Bend carries the burden to prove </w:t>
      </w:r>
      <w:r w:rsidR="00F517D1">
        <w:t xml:space="preserve">a </w:t>
      </w:r>
      <w:r>
        <w:t xml:space="preserve">good cause exception to a Commission final order. Here, Horseshoe Bend has had ample time to develop a test year in preparation for filing its base-rate proceeding under Ordering Paragraph 9 in the final order for Docket No. 50085. Furthermore, </w:t>
      </w:r>
      <w:r w:rsidR="00625ED0">
        <w:t>the Proposed Notice of Approval</w:t>
      </w:r>
      <w:r w:rsidR="00F517D1">
        <w:t xml:space="preserve"> drafted and</w:t>
      </w:r>
      <w:r w:rsidR="00625ED0">
        <w:t xml:space="preserve"> filed by Horseshoe Bend contains a substantially similar ordering paragraph to the Final Order in Docket No. 50085, ordering Horseshoe Bend to file a comprehensive base-rate proceeding within 18 months of the date of the final order.</w:t>
      </w:r>
    </w:p>
    <w:p w14:paraId="3EBF12E5" w14:textId="30550402" w:rsidR="00625ED0" w:rsidRDefault="00625ED0" w:rsidP="00D11931">
      <w:pPr>
        <w:pStyle w:val="Paragraph"/>
      </w:pPr>
      <w:r>
        <w:t xml:space="preserve">Second, </w:t>
      </w:r>
      <w:proofErr w:type="gramStart"/>
      <w:r>
        <w:t>in light of</w:t>
      </w:r>
      <w:proofErr w:type="gramEnd"/>
      <w:r>
        <w:t xml:space="preserve"> the Commission action in Docket No. 54017 and Chairman Gleeson’s memorandum in Docket No. 55995, Staff believes granting the good-cause exception is </w:t>
      </w:r>
      <w:r>
        <w:lastRenderedPageBreak/>
        <w:t>inappropriate. The Commission previously denied Park Water Company’s application for a good-cause exception to extend the deadline for it to file a rate change application under an ordering paragraph in a previous final order.</w:t>
      </w:r>
      <w:r w:rsidR="00D11931">
        <w:rPr>
          <w:rStyle w:val="FootnoteReference"/>
        </w:rPr>
        <w:footnoteReference w:id="10"/>
      </w:r>
      <w:r>
        <w:t xml:space="preserve"> </w:t>
      </w:r>
      <w:r w:rsidR="00B93B73">
        <w:t>In a later docket</w:t>
      </w:r>
      <w:r>
        <w:t xml:space="preserve">, Chairman Gleeson </w:t>
      </w:r>
      <w:r w:rsidR="00D11931">
        <w:t>stated</w:t>
      </w:r>
      <w:r>
        <w:t xml:space="preserve"> that there is no legal basis for </w:t>
      </w:r>
      <w:r w:rsidR="00B93B73">
        <w:t>granting a good cause exception to ordering paragraphs in previous Commission orders.</w:t>
      </w:r>
      <w:r w:rsidR="00D11931">
        <w:rPr>
          <w:rStyle w:val="FootnoteReference"/>
        </w:rPr>
        <w:footnoteReference w:id="11"/>
      </w:r>
      <w:r w:rsidR="00B93B73">
        <w:t xml:space="preserve"> Chairman Gleeson explained that the Commission may grant good-cause exceptions to Commission rules, but not to statutes or to previous Commission orders.</w:t>
      </w:r>
      <w:r w:rsidR="000700D8">
        <w:rPr>
          <w:rStyle w:val="FootnoteReference"/>
        </w:rPr>
        <w:footnoteReference w:id="12"/>
      </w:r>
      <w:r w:rsidR="00B93B73">
        <w:t xml:space="preserve"> Case law supports this </w:t>
      </w:r>
      <w:r w:rsidR="00D11931">
        <w:t xml:space="preserve">legal </w:t>
      </w:r>
      <w:r w:rsidR="007101C2">
        <w:t xml:space="preserve">doctrine </w:t>
      </w:r>
      <w:r w:rsidR="00B93B73">
        <w:t>as well.</w:t>
      </w:r>
      <w:r w:rsidR="000700D8">
        <w:rPr>
          <w:rStyle w:val="FootnoteReference"/>
        </w:rPr>
        <w:footnoteReference w:id="13"/>
      </w:r>
    </w:p>
    <w:p w14:paraId="39C50302" w14:textId="7C45CFAB" w:rsidR="00B93B73" w:rsidRDefault="00B93B73" w:rsidP="00D11931">
      <w:pPr>
        <w:pStyle w:val="Paragraph"/>
      </w:pPr>
      <w:r>
        <w:t xml:space="preserve">Last, </w:t>
      </w:r>
      <w:r w:rsidR="00D11931">
        <w:t>the omitted-case canon of construction states that a matter not covered is to be treated as not covered. Commissioner Jackson’s memo in Docket No. 53336 is a prime example of this principle.</w:t>
      </w:r>
      <w:r w:rsidR="000700D8">
        <w:rPr>
          <w:rStyle w:val="FootnoteReference"/>
        </w:rPr>
        <w:footnoteReference w:id="14"/>
      </w:r>
      <w:r w:rsidR="00D11931">
        <w:t xml:space="preserve"> The ordering paragraph at issue in Docket No. 53336 order</w:t>
      </w:r>
      <w:r w:rsidR="00A14ACE">
        <w:t>ed</w:t>
      </w:r>
      <w:r w:rsidR="00D11931">
        <w:t xml:space="preserve"> the utility </w:t>
      </w:r>
      <w:r w:rsidR="000700D8">
        <w:t xml:space="preserve">to file a rate application with the Commission within 18 months from the date water services begin. Commissioner Jackson proposed revising this ordering paragraph to “allow flexibility to address changed facts or unforeseen circumstances,” and suggested adding the phrase “unless the Commission finds good cause to waive the rule requirement.” This portion of the ordering paragraph in the final order was revised thusly: “. . . and file a rate application with the Commission within 18 months from the date water service begins, </w:t>
      </w:r>
      <w:r w:rsidR="000700D8">
        <w:rPr>
          <w:i/>
          <w:iCs/>
        </w:rPr>
        <w:t>unless otherwise ordered by the Commission</w:t>
      </w:r>
      <w:r w:rsidR="000700D8">
        <w:t>” (emphasis added).</w:t>
      </w:r>
      <w:r w:rsidR="00F517D1">
        <w:rPr>
          <w:rStyle w:val="FootnoteReference"/>
        </w:rPr>
        <w:footnoteReference w:id="15"/>
      </w:r>
      <w:r w:rsidR="000700D8">
        <w:t xml:space="preserve"> </w:t>
      </w:r>
    </w:p>
    <w:p w14:paraId="175E3150" w14:textId="26F9552B" w:rsidR="00F517D1" w:rsidRPr="0067031F" w:rsidRDefault="00F517D1" w:rsidP="00F517D1">
      <w:pPr>
        <w:pStyle w:val="ListParagraph"/>
        <w:numPr>
          <w:ilvl w:val="0"/>
          <w:numId w:val="27"/>
        </w:numPr>
        <w:spacing w:line="240" w:lineRule="auto"/>
        <w:ind w:left="1440" w:right="720" w:hanging="720"/>
      </w:pPr>
      <w:r w:rsidRPr="0067031F">
        <w:t>[</w:t>
      </w:r>
      <w:r>
        <w:t>W</w:t>
      </w:r>
      <w:r w:rsidRPr="0067031F">
        <w:t>]</w:t>
      </w:r>
      <w:r>
        <w:t>hat</w:t>
      </w:r>
      <w:r w:rsidRPr="0067031F">
        <w:t xml:space="preserve"> </w:t>
      </w:r>
      <w:r>
        <w:t>rates are currently being charged since the temporary rates established in Docket No. 52341</w:t>
      </w:r>
      <w:r>
        <w:rPr>
          <w:rStyle w:val="FootnoteReference"/>
        </w:rPr>
        <w:footnoteReference w:id="16"/>
      </w:r>
      <w:r>
        <w:t xml:space="preserve"> ceased on May 29, </w:t>
      </w:r>
      <w:proofErr w:type="gramStart"/>
      <w:r>
        <w:t>2024</w:t>
      </w:r>
      <w:proofErr w:type="gramEnd"/>
      <w:r>
        <w:t xml:space="preserve"> according to ordering paragraph seven in the Notice of Approval in Docket No. 50085</w:t>
      </w:r>
      <w:r w:rsidRPr="0067031F">
        <w:t>.</w:t>
      </w:r>
    </w:p>
    <w:p w14:paraId="0F21B949" w14:textId="76CB92E8" w:rsidR="00F517D1" w:rsidRPr="000700D8" w:rsidRDefault="00A14ACE" w:rsidP="00D11931">
      <w:pPr>
        <w:pStyle w:val="Paragraph"/>
      </w:pPr>
      <w:r>
        <w:lastRenderedPageBreak/>
        <w:t xml:space="preserve">Staff believes </w:t>
      </w:r>
      <w:r w:rsidR="00BE3479">
        <w:t>Horseshoe Bend also bears the burden on this issue</w:t>
      </w:r>
      <w:r>
        <w:t>. The record of this proceeding does not contain information on the rates currently being charged since temporary rates ceased on May 29, 2024</w:t>
      </w:r>
      <w:r w:rsidR="008C0F40">
        <w:t>. T</w:t>
      </w:r>
      <w:r>
        <w:t>herefore</w:t>
      </w:r>
      <w:r w:rsidR="008C0F40">
        <w:t>,</w:t>
      </w:r>
      <w:r>
        <w:t xml:space="preserve"> </w:t>
      </w:r>
      <w:r w:rsidR="00BE3479">
        <w:t xml:space="preserve">Staff </w:t>
      </w:r>
      <w:r>
        <w:t xml:space="preserve">cannot opine on this issue. </w:t>
      </w:r>
    </w:p>
    <w:p w14:paraId="5A8EC567" w14:textId="77777777" w:rsidR="00FE5A24" w:rsidRPr="00FE5A24" w:rsidRDefault="00FE5A24" w:rsidP="00FE5A24">
      <w:pPr>
        <w:pStyle w:val="Paragraph"/>
      </w:pPr>
    </w:p>
    <w:p w14:paraId="3237E57F" w14:textId="77777777" w:rsidR="00DA790F" w:rsidRDefault="00B50F0E" w:rsidP="00B50F0E">
      <w:pPr>
        <w:pStyle w:val="Heading1"/>
        <w:tabs>
          <w:tab w:val="clear" w:pos="1440"/>
        </w:tabs>
        <w:spacing w:after="120"/>
        <w:ind w:left="0" w:right="0"/>
      </w:pPr>
      <w:r w:rsidRPr="005E0AD2">
        <w:t>CONCLUSION</w:t>
      </w:r>
    </w:p>
    <w:p w14:paraId="256C1440" w14:textId="215149FB" w:rsidR="00DA790F" w:rsidRDefault="00A14ACE" w:rsidP="008C04AB">
      <w:pPr>
        <w:pStyle w:val="Paragraph"/>
      </w:pPr>
      <w:r>
        <w:t xml:space="preserve">For the reasons detailed above, </w:t>
      </w:r>
      <w:r w:rsidR="007E7DD1">
        <w:t xml:space="preserve">Staff respectfully </w:t>
      </w:r>
      <w:r w:rsidR="00CC0624">
        <w:t>request</w:t>
      </w:r>
      <w:r w:rsidR="004B738D">
        <w:t>s</w:t>
      </w:r>
      <w:r w:rsidR="007E7DD1">
        <w:t xml:space="preserve"> entry of an </w:t>
      </w:r>
      <w:r w:rsidR="007E7DD1" w:rsidRPr="008C04AB">
        <w:t>order</w:t>
      </w:r>
      <w:r w:rsidR="007E7DD1">
        <w:t xml:space="preserve"> consistent with this pleading.</w:t>
      </w:r>
      <w:r w:rsidR="00101DD7" w:rsidRPr="0051021C">
        <w:t xml:space="preserve"> </w:t>
      </w:r>
    </w:p>
    <w:p w14:paraId="3E51B04B" w14:textId="77777777" w:rsidR="00B50F0E" w:rsidRPr="00F71D87" w:rsidRDefault="00B50F0E" w:rsidP="00B50F0E">
      <w:pPr>
        <w:spacing w:after="0"/>
        <w:ind w:firstLine="0"/>
        <w:rPr>
          <w:szCs w:val="20"/>
        </w:rPr>
      </w:pPr>
    </w:p>
    <w:p w14:paraId="5EE50D4D" w14:textId="77777777" w:rsidR="00CC0624" w:rsidRDefault="00CC0624" w:rsidP="00B50F0E">
      <w:pPr>
        <w:keepNext/>
        <w:spacing w:after="0"/>
        <w:ind w:firstLine="0"/>
        <w:rPr>
          <w:szCs w:val="20"/>
        </w:rPr>
      </w:pPr>
    </w:p>
    <w:p w14:paraId="143C3DEF" w14:textId="6FA104F1"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C52F9B">
        <w:rPr>
          <w:noProof/>
        </w:rPr>
        <w:t>September 19, 2024</w:t>
      </w:r>
      <w:r w:rsidRPr="00F71D87">
        <w:fldChar w:fldCharType="end"/>
      </w:r>
    </w:p>
    <w:p w14:paraId="6620B012" w14:textId="77777777" w:rsidR="00E72BC7" w:rsidRPr="00F71D87" w:rsidRDefault="00E72BC7" w:rsidP="00E72BC7">
      <w:pPr>
        <w:keepNext/>
        <w:spacing w:after="0" w:line="480" w:lineRule="auto"/>
        <w:ind w:left="3600"/>
        <w:rPr>
          <w:szCs w:val="20"/>
        </w:rPr>
      </w:pPr>
      <w:r w:rsidRPr="00F71D87">
        <w:rPr>
          <w:szCs w:val="20"/>
        </w:rPr>
        <w:t>Respectfully submitted,</w:t>
      </w:r>
    </w:p>
    <w:p w14:paraId="0F0F8FDD"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630EC549" w14:textId="77777777" w:rsidR="00E72BC7" w:rsidRPr="00F71D87" w:rsidRDefault="00E72BC7" w:rsidP="00E72BC7">
      <w:pPr>
        <w:keepNext/>
        <w:spacing w:after="0" w:line="240" w:lineRule="auto"/>
        <w:ind w:left="4320" w:firstLine="0"/>
        <w:contextualSpacing/>
        <w:rPr>
          <w:b/>
        </w:rPr>
      </w:pPr>
      <w:r w:rsidRPr="00F71D87">
        <w:rPr>
          <w:b/>
        </w:rPr>
        <w:t>LEGAL DIVISION</w:t>
      </w:r>
    </w:p>
    <w:p w14:paraId="48B35D9B" w14:textId="77777777" w:rsidR="00E72BC7" w:rsidRPr="00F71D87" w:rsidRDefault="00E72BC7" w:rsidP="00E72BC7">
      <w:pPr>
        <w:keepNext/>
        <w:spacing w:after="0" w:line="240" w:lineRule="auto"/>
        <w:ind w:firstLine="0"/>
        <w:rPr>
          <w:szCs w:val="20"/>
        </w:rPr>
      </w:pPr>
    </w:p>
    <w:p w14:paraId="241AE637" w14:textId="77777777" w:rsidR="00E72BC7" w:rsidRDefault="00E72BC7" w:rsidP="00E72BC7">
      <w:pPr>
        <w:keepNext/>
        <w:spacing w:after="0" w:line="240" w:lineRule="auto"/>
        <w:ind w:left="4320" w:firstLine="0"/>
        <w:rPr>
          <w:szCs w:val="20"/>
        </w:rPr>
      </w:pPr>
      <w:r>
        <w:rPr>
          <w:szCs w:val="20"/>
        </w:rPr>
        <w:t>Marisa Lopez Wagley</w:t>
      </w:r>
    </w:p>
    <w:p w14:paraId="36FE9CD4" w14:textId="77777777" w:rsidR="00E72BC7" w:rsidRPr="00F71D87" w:rsidRDefault="00E72BC7" w:rsidP="00E72BC7">
      <w:pPr>
        <w:keepNext/>
        <w:spacing w:after="0" w:line="240" w:lineRule="auto"/>
        <w:ind w:left="4320" w:firstLine="0"/>
        <w:rPr>
          <w:szCs w:val="20"/>
        </w:rPr>
      </w:pPr>
      <w:r w:rsidRPr="00F71D87">
        <w:rPr>
          <w:szCs w:val="20"/>
        </w:rPr>
        <w:t>Division Director</w:t>
      </w:r>
    </w:p>
    <w:p w14:paraId="60D34A7A" w14:textId="77777777" w:rsidR="00E72BC7" w:rsidRPr="00F71D87" w:rsidRDefault="00E72BC7" w:rsidP="00E72BC7">
      <w:pPr>
        <w:keepNext/>
        <w:spacing w:after="0" w:line="240" w:lineRule="auto"/>
        <w:ind w:left="4320" w:firstLine="0"/>
        <w:rPr>
          <w:szCs w:val="20"/>
        </w:rPr>
      </w:pPr>
    </w:p>
    <w:p w14:paraId="57AAC871" w14:textId="77777777" w:rsidR="00385978" w:rsidRDefault="00385978" w:rsidP="00385978">
      <w:pPr>
        <w:keepNext/>
        <w:spacing w:after="0" w:line="240" w:lineRule="auto"/>
        <w:ind w:left="4320" w:firstLine="0"/>
        <w:rPr>
          <w:szCs w:val="20"/>
        </w:rPr>
      </w:pPr>
      <w:r>
        <w:rPr>
          <w:szCs w:val="20"/>
        </w:rPr>
        <w:t>Anthony Kanalas</w:t>
      </w:r>
    </w:p>
    <w:p w14:paraId="4DD86A25" w14:textId="77777777" w:rsidR="00385978" w:rsidRDefault="00385978" w:rsidP="00385978">
      <w:pPr>
        <w:keepNext/>
        <w:spacing w:after="0" w:line="240" w:lineRule="auto"/>
        <w:ind w:left="4320" w:firstLine="0"/>
        <w:rPr>
          <w:szCs w:val="20"/>
        </w:rPr>
      </w:pPr>
      <w:r>
        <w:rPr>
          <w:szCs w:val="20"/>
        </w:rPr>
        <w:t>Managing Attorney</w:t>
      </w:r>
    </w:p>
    <w:p w14:paraId="026CF825" w14:textId="77777777" w:rsidR="00385978" w:rsidRPr="00560E93" w:rsidRDefault="00385978" w:rsidP="00385978">
      <w:pPr>
        <w:keepNext/>
        <w:spacing w:after="0" w:line="240" w:lineRule="auto"/>
        <w:ind w:left="4320" w:firstLine="0"/>
        <w:rPr>
          <w:szCs w:val="20"/>
        </w:rPr>
      </w:pPr>
    </w:p>
    <w:p w14:paraId="297849BB" w14:textId="77777777" w:rsidR="00385978" w:rsidRPr="00F71D87" w:rsidRDefault="00385978" w:rsidP="00385978">
      <w:pPr>
        <w:keepNext/>
        <w:spacing w:after="0" w:line="240" w:lineRule="auto"/>
        <w:ind w:firstLine="0"/>
        <w:rPr>
          <w:szCs w:val="20"/>
        </w:rPr>
      </w:pPr>
    </w:p>
    <w:p w14:paraId="06B15DCF" w14:textId="77777777" w:rsidR="00385978" w:rsidRDefault="00385978" w:rsidP="00385978">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5D6894A1" w14:textId="77777777" w:rsidR="00385978" w:rsidRDefault="00385978" w:rsidP="00385978">
      <w:pPr>
        <w:pStyle w:val="NormalWeb"/>
        <w:spacing w:before="0" w:beforeAutospacing="0" w:after="0" w:afterAutospacing="0"/>
        <w:ind w:left="4320"/>
      </w:pPr>
      <w:r>
        <w:t>Cheri Hasz</w:t>
      </w:r>
    </w:p>
    <w:p w14:paraId="101ADACE" w14:textId="77777777" w:rsidR="00385978" w:rsidRDefault="00385978" w:rsidP="00385978">
      <w:pPr>
        <w:pStyle w:val="NormalWeb"/>
        <w:spacing w:before="0" w:beforeAutospacing="0" w:after="0" w:afterAutospacing="0"/>
        <w:ind w:left="4320"/>
      </w:pPr>
      <w:r>
        <w:t>State Bar No. 24126575</w:t>
      </w:r>
    </w:p>
    <w:p w14:paraId="7148BD0A" w14:textId="77777777" w:rsidR="00385978" w:rsidRDefault="00385978" w:rsidP="00385978">
      <w:pPr>
        <w:pStyle w:val="NormalWeb"/>
        <w:spacing w:before="0" w:beforeAutospacing="0" w:after="0" w:afterAutospacing="0"/>
        <w:ind w:left="4320"/>
      </w:pPr>
      <w:r>
        <w:t>1701 N. Congress Avenue</w:t>
      </w:r>
    </w:p>
    <w:p w14:paraId="0E892F48" w14:textId="77777777" w:rsidR="00385978" w:rsidRDefault="00385978" w:rsidP="00385978">
      <w:pPr>
        <w:pStyle w:val="NormalWeb"/>
        <w:spacing w:before="0" w:beforeAutospacing="0" w:after="0" w:afterAutospacing="0"/>
        <w:ind w:left="4320"/>
      </w:pPr>
      <w:r>
        <w:t>P.O Box 13326</w:t>
      </w:r>
    </w:p>
    <w:p w14:paraId="3FE7A05E" w14:textId="77777777" w:rsidR="00385978" w:rsidRDefault="00385978" w:rsidP="00385978">
      <w:pPr>
        <w:pStyle w:val="NormalWeb"/>
        <w:spacing w:before="0" w:beforeAutospacing="0" w:after="0" w:afterAutospacing="0"/>
        <w:ind w:left="4320"/>
      </w:pPr>
      <w:r>
        <w:t>Austin, Texas 78711-3326</w:t>
      </w:r>
    </w:p>
    <w:p w14:paraId="34000D5E" w14:textId="77777777" w:rsidR="00385978" w:rsidRDefault="00385978" w:rsidP="00385978">
      <w:pPr>
        <w:pStyle w:val="NormalWeb"/>
        <w:spacing w:before="0" w:beforeAutospacing="0" w:after="0" w:afterAutospacing="0"/>
        <w:ind w:left="4320"/>
      </w:pPr>
      <w:r>
        <w:t>(512) 936-7343</w:t>
      </w:r>
    </w:p>
    <w:p w14:paraId="010D931D" w14:textId="77777777" w:rsidR="00385978" w:rsidRDefault="00385978" w:rsidP="00385978">
      <w:pPr>
        <w:pStyle w:val="NormalWeb"/>
        <w:spacing w:before="0" w:beforeAutospacing="0" w:after="0" w:afterAutospacing="0"/>
        <w:ind w:left="4320"/>
      </w:pPr>
      <w:r>
        <w:t xml:space="preserve">(512) 936-7268 (facsimile) </w:t>
      </w:r>
    </w:p>
    <w:p w14:paraId="5E6222A1" w14:textId="1973B83A" w:rsidR="00B50F0E" w:rsidRDefault="00385978" w:rsidP="0020788E">
      <w:pPr>
        <w:pStyle w:val="Paragraph"/>
        <w:ind w:left="3600"/>
      </w:pPr>
      <w:r>
        <w:t>Cheri.Hasz@puc.texas.gov</w:t>
      </w:r>
    </w:p>
    <w:p w14:paraId="75D75F6A" w14:textId="77777777" w:rsidR="0059201D" w:rsidRPr="0051021C" w:rsidRDefault="0059201D" w:rsidP="00BB5A8B">
      <w:pPr>
        <w:pStyle w:val="Paragraph"/>
        <w:ind w:firstLine="0"/>
      </w:pPr>
    </w:p>
    <w:p w14:paraId="6274590C" w14:textId="3BD94F99"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1F34EE" w:rsidRPr="00EF7381">
        <w:t>Docket</w:t>
      </w:r>
      <w:r w:rsidR="001F34EE" w:rsidRPr="00D92C94">
        <w:t xml:space="preserve"> No</w:t>
      </w:r>
      <w:r w:rsidR="001F34EE" w:rsidRPr="008647EB">
        <w:t>.</w:t>
      </w:r>
      <w:r w:rsidR="001F34EE">
        <w:t xml:space="preserve"> 56479</w:t>
      </w:r>
      <w:r w:rsidR="001F34EE" w:rsidRPr="001F34EE">
        <w:rPr>
          <w:rStyle w:val="PlaceholderText"/>
        </w:rPr>
        <w:t xml:space="preserve"> </w:t>
      </w:r>
      <w:r w:rsidRPr="007E3A22">
        <w:rPr>
          <w:bCs/>
        </w:rPr>
        <w:fldChar w:fldCharType="end"/>
      </w:r>
    </w:p>
    <w:p w14:paraId="2488FECC" w14:textId="77777777" w:rsidR="00DA790F" w:rsidRPr="008647EB" w:rsidRDefault="00DA790F" w:rsidP="00092070">
      <w:pPr>
        <w:pStyle w:val="CaseCaption"/>
      </w:pPr>
      <w:r w:rsidRPr="008647EB">
        <w:t>CERTIFICATE OF SERVICE</w:t>
      </w:r>
    </w:p>
    <w:p w14:paraId="36A39EFE" w14:textId="0F477369"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C52F9B">
        <w:rPr>
          <w:noProof/>
        </w:rPr>
        <w:t>September 19,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3E1749AB" w14:textId="77777777" w:rsidR="00B50F0E" w:rsidRPr="008647EB" w:rsidRDefault="00B50F0E" w:rsidP="00553B64">
      <w:pPr>
        <w:pStyle w:val="Paragraph"/>
        <w:keepNext/>
        <w:keepLines/>
      </w:pPr>
    </w:p>
    <w:p w14:paraId="34E2DC8E" w14:textId="77777777" w:rsidR="00385978" w:rsidRDefault="00385978" w:rsidP="00385978">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7E34075A" w14:textId="77777777" w:rsidR="00385978" w:rsidRDefault="00385978" w:rsidP="00385978">
      <w:pPr>
        <w:pStyle w:val="NormalWeb"/>
        <w:spacing w:before="0" w:beforeAutospacing="0" w:after="0" w:afterAutospacing="0"/>
        <w:ind w:left="4320"/>
      </w:pPr>
      <w:r>
        <w:t>Cheri Hasz</w:t>
      </w:r>
    </w:p>
    <w:p w14:paraId="0B7C82BB"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1769" w14:textId="77777777" w:rsidR="001F34EE" w:rsidRDefault="001F34EE">
      <w:pPr>
        <w:spacing w:after="0" w:line="240" w:lineRule="auto"/>
      </w:pPr>
      <w:r>
        <w:separator/>
      </w:r>
    </w:p>
  </w:endnote>
  <w:endnote w:type="continuationSeparator" w:id="0">
    <w:p w14:paraId="24F511C8" w14:textId="77777777" w:rsidR="001F34EE" w:rsidRDefault="001F3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13D7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650DACB" w14:textId="77777777" w:rsidR="00071BFA" w:rsidRDefault="00071BFA" w:rsidP="008016FB">
    <w:pPr>
      <w:pStyle w:val="Footer"/>
    </w:pPr>
  </w:p>
  <w:p w14:paraId="16E69DA7" w14:textId="77777777" w:rsidR="00071BFA" w:rsidRDefault="00071BFA" w:rsidP="008016FB"/>
  <w:p w14:paraId="283AC58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07A4" w14:textId="77777777" w:rsidR="001F34EE" w:rsidRDefault="001F34EE">
      <w:pPr>
        <w:spacing w:after="0" w:line="240" w:lineRule="auto"/>
      </w:pPr>
      <w:r>
        <w:separator/>
      </w:r>
    </w:p>
  </w:footnote>
  <w:footnote w:type="continuationSeparator" w:id="0">
    <w:p w14:paraId="0F49DDCC" w14:textId="77777777" w:rsidR="001F34EE" w:rsidRDefault="001F34EE">
      <w:pPr>
        <w:spacing w:after="0" w:line="240" w:lineRule="auto"/>
      </w:pPr>
      <w:r>
        <w:continuationSeparator/>
      </w:r>
    </w:p>
  </w:footnote>
  <w:footnote w:type="continuationNotice" w:id="1">
    <w:p w14:paraId="542F4BEB" w14:textId="77777777" w:rsidR="001F34EE" w:rsidRDefault="001F34EE">
      <w:pPr>
        <w:spacing w:after="0" w:line="240" w:lineRule="auto"/>
      </w:pPr>
    </w:p>
  </w:footnote>
  <w:footnote w:id="2">
    <w:p w14:paraId="2F387A77" w14:textId="77777777" w:rsidR="00A96ED2" w:rsidRDefault="00A96ED2" w:rsidP="00A96ED2">
      <w:pPr>
        <w:pStyle w:val="FootnoteText"/>
      </w:pPr>
      <w:r>
        <w:rPr>
          <w:rStyle w:val="FootnoteReference"/>
        </w:rPr>
        <w:footnoteRef/>
      </w:r>
      <w:r>
        <w:t xml:space="preserve">  </w:t>
      </w:r>
      <w:r w:rsidRPr="00F43953">
        <w:rPr>
          <w:i/>
          <w:iCs/>
        </w:rPr>
        <w:t>Application of Castle Water, Inc. dba Horseshoe Bend Water System and Horseshoe Bend Water Company, LLC for Sale, Transfer, or Merger of Facilities and Certificate Rights in Parker County</w:t>
      </w:r>
      <w:r>
        <w:t>, Docket No. 50085 (Nov. 29, 2022).</w:t>
      </w:r>
    </w:p>
  </w:footnote>
  <w:footnote w:id="3">
    <w:p w14:paraId="7B15D203" w14:textId="5470FB97" w:rsidR="00BE3479" w:rsidRDefault="00BE3479">
      <w:pPr>
        <w:pStyle w:val="FootnoteText"/>
      </w:pPr>
      <w:r>
        <w:rPr>
          <w:rStyle w:val="FootnoteReference"/>
        </w:rPr>
        <w:footnoteRef/>
      </w:r>
      <w:r>
        <w:t xml:space="preserve"> </w:t>
      </w:r>
      <w:r w:rsidR="00937BEF">
        <w:t xml:space="preserve"> </w:t>
      </w:r>
      <w:r w:rsidRPr="0020788E">
        <w:rPr>
          <w:i/>
          <w:iCs/>
        </w:rPr>
        <w:t>Petition for an Order Appointing a Temporary Manager for Castle Water, Inc. dba Horseshoe Bend Water System</w:t>
      </w:r>
      <w:r>
        <w:t>, Docket No. 50847, Order at Ordering Paragraph No. 1 (Jun. 22, 2020).</w:t>
      </w:r>
    </w:p>
  </w:footnote>
  <w:footnote w:id="4">
    <w:p w14:paraId="1430482F" w14:textId="666989D2" w:rsidR="002D7902" w:rsidRDefault="002D7902">
      <w:pPr>
        <w:pStyle w:val="FootnoteText"/>
      </w:pPr>
      <w:r>
        <w:rPr>
          <w:rStyle w:val="FootnoteReference"/>
        </w:rPr>
        <w:footnoteRef/>
      </w:r>
      <w:r>
        <w:t xml:space="preserve">  Docket No. 50085.</w:t>
      </w:r>
    </w:p>
  </w:footnote>
  <w:footnote w:id="5">
    <w:p w14:paraId="64BA0BFD" w14:textId="03515CA4" w:rsidR="002D7902" w:rsidRDefault="002D7902">
      <w:pPr>
        <w:pStyle w:val="FootnoteText"/>
      </w:pPr>
      <w:r>
        <w:rPr>
          <w:rStyle w:val="FootnoteReference"/>
        </w:rPr>
        <w:footnoteRef/>
      </w:r>
      <w:r>
        <w:t xml:space="preserve">  </w:t>
      </w:r>
      <w:r w:rsidRPr="002D7902">
        <w:rPr>
          <w:i/>
          <w:iCs/>
        </w:rPr>
        <w:t>Application of Mark Patterson for Temporary Rates for a Nonfunctioning Utility</w:t>
      </w:r>
      <w:r>
        <w:t>, Docket No. 52341 (Jul. 22, 2021).</w:t>
      </w:r>
    </w:p>
  </w:footnote>
  <w:footnote w:id="6">
    <w:p w14:paraId="3E60B321" w14:textId="05A6AAAC" w:rsidR="003B6DBD" w:rsidRDefault="003B6DBD">
      <w:pPr>
        <w:pStyle w:val="FootnoteText"/>
      </w:pPr>
      <w:r>
        <w:rPr>
          <w:rStyle w:val="FootnoteReference"/>
        </w:rPr>
        <w:footnoteRef/>
      </w:r>
      <w:r>
        <w:t xml:space="preserve">  Docket No. 52341, Order at Ordering Paragraph No. 1 (Jul. 27, 2022).</w:t>
      </w:r>
    </w:p>
  </w:footnote>
  <w:footnote w:id="7">
    <w:p w14:paraId="7D8534CC" w14:textId="1532EFAC" w:rsidR="003B6DBD" w:rsidRDefault="003B6DBD">
      <w:pPr>
        <w:pStyle w:val="FootnoteText"/>
      </w:pPr>
      <w:r>
        <w:rPr>
          <w:rStyle w:val="FootnoteReference"/>
        </w:rPr>
        <w:footnoteRef/>
      </w:r>
      <w:r>
        <w:t xml:space="preserve">  Docket No. 50085, Notice of Approval at Order Paragraph Nos. 7 and 9 (Nov. 29, 2022).</w:t>
      </w:r>
    </w:p>
  </w:footnote>
  <w:footnote w:id="8">
    <w:p w14:paraId="6BBEEC29" w14:textId="2010836F" w:rsidR="002E1715" w:rsidRDefault="002E1715">
      <w:pPr>
        <w:pStyle w:val="FootnoteText"/>
      </w:pPr>
      <w:r>
        <w:rPr>
          <w:rStyle w:val="FootnoteReference"/>
        </w:rPr>
        <w:footnoteRef/>
      </w:r>
      <w:r>
        <w:t xml:space="preserve"> </w:t>
      </w:r>
      <w:r w:rsidR="00F27954">
        <w:t xml:space="preserve"> </w:t>
      </w:r>
      <w:r w:rsidR="00F27954" w:rsidRPr="0020788E">
        <w:rPr>
          <w:i/>
          <w:iCs/>
        </w:rPr>
        <w:t>Application of Park Water Company to Extend the Time to File a Rate Application in Accordance with Notice of Approval in Docket No. 49311</w:t>
      </w:r>
      <w:r w:rsidR="00F27954">
        <w:t>, Docket No. 54017, Order (Apr. 5, 2023).</w:t>
      </w:r>
    </w:p>
  </w:footnote>
  <w:footnote w:id="9">
    <w:p w14:paraId="23DCA957" w14:textId="16FD3214" w:rsidR="002E1715" w:rsidRDefault="002E1715">
      <w:pPr>
        <w:pStyle w:val="FootnoteText"/>
      </w:pPr>
      <w:r>
        <w:rPr>
          <w:rStyle w:val="FootnoteReference"/>
        </w:rPr>
        <w:footnoteRef/>
      </w:r>
      <w:r>
        <w:t xml:space="preserve"> </w:t>
      </w:r>
      <w:r w:rsidR="00F27954">
        <w:t xml:space="preserve"> </w:t>
      </w:r>
      <w:r w:rsidR="00F27954" w:rsidRPr="0020788E">
        <w:rPr>
          <w:i/>
          <w:iCs/>
        </w:rPr>
        <w:t xml:space="preserve">Compliance Filing for CenterPoint Energy Houston Electric, LLC Concerning Rider SRC and ADFIT </w:t>
      </w:r>
      <w:r w:rsidR="00724C03" w:rsidRPr="0020788E">
        <w:rPr>
          <w:i/>
          <w:iCs/>
        </w:rPr>
        <w:t>–</w:t>
      </w:r>
      <w:r w:rsidR="00F27954" w:rsidRPr="0020788E">
        <w:rPr>
          <w:i/>
          <w:iCs/>
        </w:rPr>
        <w:t xml:space="preserve"> Refund</w:t>
      </w:r>
      <w:r w:rsidR="00724C03" w:rsidRPr="0020788E">
        <w:rPr>
          <w:i/>
          <w:iCs/>
        </w:rPr>
        <w:t xml:space="preserve"> of System Restoration Charges</w:t>
      </w:r>
      <w:r w:rsidR="00724C03">
        <w:t xml:space="preserve">, Docket No. 55995, </w:t>
      </w:r>
      <w:r w:rsidR="008D6C57">
        <w:t>Commissioner Memorandum (Jul. 10, 2024).</w:t>
      </w:r>
    </w:p>
  </w:footnote>
  <w:footnote w:id="10">
    <w:p w14:paraId="6D00033B" w14:textId="0D3F19E1" w:rsidR="00D11931" w:rsidRDefault="00D11931">
      <w:pPr>
        <w:pStyle w:val="FootnoteText"/>
      </w:pPr>
      <w:r>
        <w:rPr>
          <w:rStyle w:val="FootnoteReference"/>
        </w:rPr>
        <w:footnoteRef/>
      </w:r>
      <w:r>
        <w:t xml:space="preserve"> </w:t>
      </w:r>
      <w:r w:rsidR="008D6C57">
        <w:t xml:space="preserve"> Docket No. 54017, Order at </w:t>
      </w:r>
      <w:r w:rsidR="0088029C">
        <w:t>Finding of Fact 13.</w:t>
      </w:r>
      <w:r w:rsidR="008D6C57">
        <w:t xml:space="preserve"> </w:t>
      </w:r>
    </w:p>
  </w:footnote>
  <w:footnote w:id="11">
    <w:p w14:paraId="10FA5F4E" w14:textId="6CCD0993" w:rsidR="00D11931" w:rsidRDefault="00D11931">
      <w:pPr>
        <w:pStyle w:val="FootnoteText"/>
      </w:pPr>
      <w:r>
        <w:rPr>
          <w:rStyle w:val="FootnoteReference"/>
        </w:rPr>
        <w:footnoteRef/>
      </w:r>
      <w:r>
        <w:t xml:space="preserve"> </w:t>
      </w:r>
      <w:r w:rsidR="0088029C">
        <w:t xml:space="preserve"> Docket No. 55995, Commissioner Memorandum at 1.</w:t>
      </w:r>
    </w:p>
  </w:footnote>
  <w:footnote w:id="12">
    <w:p w14:paraId="3D30E313" w14:textId="686A8628" w:rsidR="000700D8" w:rsidRDefault="000700D8">
      <w:pPr>
        <w:pStyle w:val="FootnoteText"/>
      </w:pPr>
      <w:r>
        <w:rPr>
          <w:rStyle w:val="FootnoteReference"/>
        </w:rPr>
        <w:footnoteRef/>
      </w:r>
      <w:r>
        <w:t xml:space="preserve"> </w:t>
      </w:r>
      <w:r w:rsidR="0088029C">
        <w:t xml:space="preserve"> </w:t>
      </w:r>
      <w:r w:rsidR="0088029C" w:rsidRPr="0020788E">
        <w:rPr>
          <w:i/>
          <w:iCs/>
        </w:rPr>
        <w:t>Id</w:t>
      </w:r>
      <w:r w:rsidR="0088029C">
        <w:t>.</w:t>
      </w:r>
    </w:p>
  </w:footnote>
  <w:footnote w:id="13">
    <w:p w14:paraId="73AEE5A3" w14:textId="0BF8CC11" w:rsidR="000700D8" w:rsidRPr="0088029C" w:rsidRDefault="000700D8">
      <w:pPr>
        <w:pStyle w:val="FootnoteText"/>
      </w:pPr>
      <w:r>
        <w:rPr>
          <w:rStyle w:val="FootnoteReference"/>
        </w:rPr>
        <w:footnoteRef/>
      </w:r>
      <w:r>
        <w:t xml:space="preserve"> </w:t>
      </w:r>
      <w:r w:rsidR="00937BEF">
        <w:t xml:space="preserve"> </w:t>
      </w:r>
      <w:r w:rsidR="0088029C">
        <w:rPr>
          <w:i/>
          <w:iCs/>
        </w:rPr>
        <w:t>See</w:t>
      </w:r>
      <w:r w:rsidR="0088029C">
        <w:t xml:space="preserve"> </w:t>
      </w:r>
      <w:r w:rsidR="0038628A" w:rsidRPr="007D639A">
        <w:rPr>
          <w:i/>
          <w:iCs/>
        </w:rPr>
        <w:t>Pub. Util. Comm'n of Tex. v. Brazos Elec. Power Co-op., Inc</w:t>
      </w:r>
      <w:r w:rsidR="0038628A" w:rsidRPr="0038628A">
        <w:t xml:space="preserve">., 723 S.W.2d 171 </w:t>
      </w:r>
      <w:r w:rsidR="00D60C61">
        <w:t xml:space="preserve">at 173 </w:t>
      </w:r>
      <w:r w:rsidR="0038628A" w:rsidRPr="0038628A">
        <w:t>(Tex. App. 1986), writ refused NRE (Apr. 15, 1987)</w:t>
      </w:r>
      <w:r w:rsidR="0038628A">
        <w:t xml:space="preserve"> (stating </w:t>
      </w:r>
      <w:r w:rsidR="008571E4">
        <w:t>“that the Public Utility Commission lacks statutory authority or any implied power to review in any judicial capacity its orders which have become final”</w:t>
      </w:r>
      <w:r w:rsidR="00286324">
        <w:t xml:space="preserve">); </w:t>
      </w:r>
      <w:r w:rsidR="000B49FF" w:rsidRPr="007D639A">
        <w:rPr>
          <w:i/>
          <w:iCs/>
        </w:rPr>
        <w:t>Sproles Motor Freight Line v. Smith</w:t>
      </w:r>
      <w:r w:rsidR="000B49FF" w:rsidRPr="000B49FF">
        <w:t>, 130 S.W.2d 1087</w:t>
      </w:r>
      <w:r w:rsidR="00D60C61">
        <w:t xml:space="preserve"> at 1088</w:t>
      </w:r>
      <w:r w:rsidR="000B49FF" w:rsidRPr="000B49FF">
        <w:t xml:space="preserve"> (Tex. Civ. App. 1939), writ refused</w:t>
      </w:r>
      <w:r w:rsidR="000B49FF">
        <w:t xml:space="preserve"> (</w:t>
      </w:r>
      <w:r w:rsidR="00AC6C85">
        <w:t>stating that the Commission is without power to review its own orders when such orders are final</w:t>
      </w:r>
      <w:r w:rsidR="009212AE">
        <w:t>).</w:t>
      </w:r>
    </w:p>
  </w:footnote>
  <w:footnote w:id="14">
    <w:p w14:paraId="48C0B858" w14:textId="70755883" w:rsidR="000700D8" w:rsidRDefault="000700D8">
      <w:pPr>
        <w:pStyle w:val="FootnoteText"/>
      </w:pPr>
      <w:r>
        <w:rPr>
          <w:rStyle w:val="FootnoteReference"/>
        </w:rPr>
        <w:footnoteRef/>
      </w:r>
      <w:r>
        <w:t xml:space="preserve"> </w:t>
      </w:r>
      <w:r w:rsidR="00937BEF">
        <w:t xml:space="preserve"> </w:t>
      </w:r>
      <w:r w:rsidR="0073205D" w:rsidRPr="0020788E">
        <w:rPr>
          <w:i/>
          <w:iCs/>
        </w:rPr>
        <w:t>Application of Big Easy Aqua LLC for a Certificate of Convenience and Necessity in Colorado County</w:t>
      </w:r>
      <w:r w:rsidR="0073205D">
        <w:t xml:space="preserve">, Docket No. 53336, Commissioner Memorandum at </w:t>
      </w:r>
      <w:r w:rsidR="00AB0809">
        <w:t>2 (Feb. 14, 2024).</w:t>
      </w:r>
    </w:p>
  </w:footnote>
  <w:footnote w:id="15">
    <w:p w14:paraId="2B1BB99D" w14:textId="0E4E0188" w:rsidR="00F517D1" w:rsidRDefault="00F517D1">
      <w:pPr>
        <w:pStyle w:val="FootnoteText"/>
      </w:pPr>
      <w:r>
        <w:rPr>
          <w:rStyle w:val="FootnoteReference"/>
        </w:rPr>
        <w:footnoteRef/>
      </w:r>
      <w:r>
        <w:t xml:space="preserve"> </w:t>
      </w:r>
      <w:r w:rsidR="00AB0809">
        <w:t xml:space="preserve"> Docket No. 53336, Order at </w:t>
      </w:r>
      <w:r w:rsidR="00924A38">
        <w:t>Ordering Paragraph No. 6 (Feb. 15, 2024)</w:t>
      </w:r>
      <w:r w:rsidR="00D60C61">
        <w:t xml:space="preserve">; </w:t>
      </w:r>
      <w:r w:rsidR="002F557B">
        <w:t>this ordering paragraph</w:t>
      </w:r>
      <w:r w:rsidR="00D60C61">
        <w:t xml:space="preserve"> is also supported by case law</w:t>
      </w:r>
      <w:r w:rsidR="002F557B">
        <w:t xml:space="preserve">, </w:t>
      </w:r>
      <w:r w:rsidR="002F557B">
        <w:rPr>
          <w:i/>
          <w:iCs/>
        </w:rPr>
        <w:t xml:space="preserve">see </w:t>
      </w:r>
      <w:r w:rsidR="002F557B" w:rsidRPr="002F557B">
        <w:rPr>
          <w:i/>
          <w:iCs/>
        </w:rPr>
        <w:t xml:space="preserve">Sexton v. Mount Olivet Cemetery </w:t>
      </w:r>
      <w:proofErr w:type="spellStart"/>
      <w:r w:rsidR="002F557B" w:rsidRPr="002F557B">
        <w:rPr>
          <w:i/>
          <w:iCs/>
        </w:rPr>
        <w:t>Ass'n</w:t>
      </w:r>
      <w:proofErr w:type="spellEnd"/>
      <w:r w:rsidR="002F557B" w:rsidRPr="007D639A">
        <w:t>, 720 S.W.2d 129, 145</w:t>
      </w:r>
      <w:r w:rsidR="002F557B">
        <w:t xml:space="preserve"> at 145 - 146</w:t>
      </w:r>
      <w:r w:rsidR="002F557B" w:rsidRPr="007D639A">
        <w:t xml:space="preserve"> (Tex. App. 1986), writ refused NRE (Jan. 28, 1987)</w:t>
      </w:r>
      <w:r w:rsidR="00924A38" w:rsidRPr="002F557B">
        <w:t>.</w:t>
      </w:r>
    </w:p>
  </w:footnote>
  <w:footnote w:id="16">
    <w:p w14:paraId="464529D6" w14:textId="35C66E9E" w:rsidR="00F517D1" w:rsidRDefault="00F517D1">
      <w:pPr>
        <w:pStyle w:val="FootnoteText"/>
      </w:pPr>
      <w:r>
        <w:rPr>
          <w:rStyle w:val="FootnoteReference"/>
        </w:rPr>
        <w:footnoteRef/>
      </w:r>
      <w:r>
        <w:t xml:space="preserve"> </w:t>
      </w:r>
      <w:r w:rsidR="00937BEF">
        <w:t xml:space="preserve"> Docket No. 52341, Order.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65C3"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5EB51FA3"/>
    <w:multiLevelType w:val="hybridMultilevel"/>
    <w:tmpl w:val="11C27CF0"/>
    <w:lvl w:ilvl="0" w:tplc="F6303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A931E7E"/>
    <w:multiLevelType w:val="hybridMultilevel"/>
    <w:tmpl w:val="A9BE52AC"/>
    <w:lvl w:ilvl="0" w:tplc="44086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6"/>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211501463">
    <w:abstractNumId w:val="20"/>
  </w:num>
  <w:num w:numId="27" w16cid:durableId="11639360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4E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00D8"/>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49FF"/>
    <w:rsid w:val="000B5BCF"/>
    <w:rsid w:val="000B5F1B"/>
    <w:rsid w:val="000C29F8"/>
    <w:rsid w:val="000C4031"/>
    <w:rsid w:val="000C6A4A"/>
    <w:rsid w:val="000C6AF9"/>
    <w:rsid w:val="000D3CDD"/>
    <w:rsid w:val="000D54AD"/>
    <w:rsid w:val="000D5F63"/>
    <w:rsid w:val="000E130D"/>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3AA6"/>
    <w:rsid w:val="001E4676"/>
    <w:rsid w:val="001E55D1"/>
    <w:rsid w:val="001E58F0"/>
    <w:rsid w:val="001E6E61"/>
    <w:rsid w:val="001E7174"/>
    <w:rsid w:val="001F24E2"/>
    <w:rsid w:val="001F2558"/>
    <w:rsid w:val="001F34EE"/>
    <w:rsid w:val="001F356A"/>
    <w:rsid w:val="001F47C0"/>
    <w:rsid w:val="001F5FDD"/>
    <w:rsid w:val="001F7450"/>
    <w:rsid w:val="00201516"/>
    <w:rsid w:val="0020243D"/>
    <w:rsid w:val="00204274"/>
    <w:rsid w:val="002046FE"/>
    <w:rsid w:val="0020471E"/>
    <w:rsid w:val="0020473E"/>
    <w:rsid w:val="002053CD"/>
    <w:rsid w:val="00206549"/>
    <w:rsid w:val="0020788E"/>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830"/>
    <w:rsid w:val="00256D5A"/>
    <w:rsid w:val="0025700B"/>
    <w:rsid w:val="00261AFE"/>
    <w:rsid w:val="0026407F"/>
    <w:rsid w:val="002650E5"/>
    <w:rsid w:val="00270C7B"/>
    <w:rsid w:val="00271524"/>
    <w:rsid w:val="002720F6"/>
    <w:rsid w:val="00272208"/>
    <w:rsid w:val="00273FF4"/>
    <w:rsid w:val="002821AF"/>
    <w:rsid w:val="00282897"/>
    <w:rsid w:val="0028290A"/>
    <w:rsid w:val="00283726"/>
    <w:rsid w:val="00283F39"/>
    <w:rsid w:val="00285A49"/>
    <w:rsid w:val="00285CF8"/>
    <w:rsid w:val="00286324"/>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D7902"/>
    <w:rsid w:val="002E1715"/>
    <w:rsid w:val="002E45FE"/>
    <w:rsid w:val="002E749D"/>
    <w:rsid w:val="002F08B6"/>
    <w:rsid w:val="002F479D"/>
    <w:rsid w:val="002F557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5978"/>
    <w:rsid w:val="0038628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6DBD"/>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30B7"/>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E7A"/>
    <w:rsid w:val="004F3113"/>
    <w:rsid w:val="004F3873"/>
    <w:rsid w:val="004F7611"/>
    <w:rsid w:val="005024E1"/>
    <w:rsid w:val="00506DA4"/>
    <w:rsid w:val="005073C0"/>
    <w:rsid w:val="0051021C"/>
    <w:rsid w:val="0051080A"/>
    <w:rsid w:val="00510948"/>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25ED0"/>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31F"/>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01C2"/>
    <w:rsid w:val="0071409A"/>
    <w:rsid w:val="00714F70"/>
    <w:rsid w:val="007154AA"/>
    <w:rsid w:val="00717A18"/>
    <w:rsid w:val="00721484"/>
    <w:rsid w:val="00724C03"/>
    <w:rsid w:val="007271CB"/>
    <w:rsid w:val="0073205D"/>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39A"/>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1E4"/>
    <w:rsid w:val="00857A7F"/>
    <w:rsid w:val="00861509"/>
    <w:rsid w:val="008647EB"/>
    <w:rsid w:val="00864EF1"/>
    <w:rsid w:val="00865E02"/>
    <w:rsid w:val="00866100"/>
    <w:rsid w:val="00871E82"/>
    <w:rsid w:val="00873122"/>
    <w:rsid w:val="0088029C"/>
    <w:rsid w:val="0088061E"/>
    <w:rsid w:val="008814ED"/>
    <w:rsid w:val="00882F6F"/>
    <w:rsid w:val="008848A4"/>
    <w:rsid w:val="00885092"/>
    <w:rsid w:val="00885CD1"/>
    <w:rsid w:val="0088647C"/>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0F40"/>
    <w:rsid w:val="008C1C2C"/>
    <w:rsid w:val="008C1E67"/>
    <w:rsid w:val="008D0224"/>
    <w:rsid w:val="008D34C1"/>
    <w:rsid w:val="008D3B53"/>
    <w:rsid w:val="008D4CAE"/>
    <w:rsid w:val="008D585A"/>
    <w:rsid w:val="008D6C57"/>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12AE"/>
    <w:rsid w:val="00922D15"/>
    <w:rsid w:val="00924A38"/>
    <w:rsid w:val="00924BBF"/>
    <w:rsid w:val="00925917"/>
    <w:rsid w:val="00925C72"/>
    <w:rsid w:val="00930B8D"/>
    <w:rsid w:val="009310C1"/>
    <w:rsid w:val="00932E23"/>
    <w:rsid w:val="00933F91"/>
    <w:rsid w:val="00936A79"/>
    <w:rsid w:val="00937BEF"/>
    <w:rsid w:val="00940316"/>
    <w:rsid w:val="009410CB"/>
    <w:rsid w:val="00944AF7"/>
    <w:rsid w:val="00944CF8"/>
    <w:rsid w:val="009467A5"/>
    <w:rsid w:val="00953708"/>
    <w:rsid w:val="00953B7B"/>
    <w:rsid w:val="00956DCF"/>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099B"/>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4ACE"/>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ED2"/>
    <w:rsid w:val="00A96F2C"/>
    <w:rsid w:val="00A97939"/>
    <w:rsid w:val="00AA1D87"/>
    <w:rsid w:val="00AA1EF3"/>
    <w:rsid w:val="00AA212D"/>
    <w:rsid w:val="00AA4054"/>
    <w:rsid w:val="00AA4397"/>
    <w:rsid w:val="00AA4B70"/>
    <w:rsid w:val="00AA4BF1"/>
    <w:rsid w:val="00AB0809"/>
    <w:rsid w:val="00AB5C83"/>
    <w:rsid w:val="00AC3AFD"/>
    <w:rsid w:val="00AC4F67"/>
    <w:rsid w:val="00AC5BD9"/>
    <w:rsid w:val="00AC6C85"/>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8E2"/>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3B73"/>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3479"/>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6A69"/>
    <w:rsid w:val="00C472A2"/>
    <w:rsid w:val="00C52F9B"/>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1931"/>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0C61"/>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954"/>
    <w:rsid w:val="00F27DD3"/>
    <w:rsid w:val="00F3191C"/>
    <w:rsid w:val="00F328DE"/>
    <w:rsid w:val="00F34435"/>
    <w:rsid w:val="00F36E4D"/>
    <w:rsid w:val="00F37917"/>
    <w:rsid w:val="00F403F3"/>
    <w:rsid w:val="00F43C47"/>
    <w:rsid w:val="00F446C0"/>
    <w:rsid w:val="00F44EC8"/>
    <w:rsid w:val="00F46C47"/>
    <w:rsid w:val="00F47788"/>
    <w:rsid w:val="00F517D1"/>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6A3B"/>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C41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Index3">
    <w:name w:val="index 3"/>
    <w:basedOn w:val="Normal"/>
    <w:next w:val="Normal"/>
    <w:autoRedefine/>
    <w:rsid w:val="0067031F"/>
    <w:pPr>
      <w:spacing w:after="0" w:line="240" w:lineRule="auto"/>
      <w:ind w:left="720" w:hanging="240"/>
    </w:pPr>
  </w:style>
  <w:style w:type="paragraph" w:styleId="Index5">
    <w:name w:val="index 5"/>
    <w:basedOn w:val="Normal"/>
    <w:next w:val="Normal"/>
    <w:autoRedefine/>
    <w:rsid w:val="0067031F"/>
    <w:pPr>
      <w:spacing w:after="0" w:line="240" w:lineRule="auto"/>
      <w:ind w:left="1200" w:hanging="240"/>
    </w:pPr>
  </w:style>
  <w:style w:type="paragraph" w:styleId="Index6">
    <w:name w:val="index 6"/>
    <w:basedOn w:val="Normal"/>
    <w:next w:val="Normal"/>
    <w:autoRedefine/>
    <w:rsid w:val="0067031F"/>
    <w:pPr>
      <w:spacing w:after="0" w:line="240" w:lineRule="auto"/>
      <w:ind w:left="1440" w:hanging="240"/>
    </w:pPr>
  </w:style>
  <w:style w:type="paragraph" w:styleId="Index7">
    <w:name w:val="index 7"/>
    <w:basedOn w:val="Normal"/>
    <w:next w:val="Normal"/>
    <w:autoRedefine/>
    <w:rsid w:val="0067031F"/>
    <w:pPr>
      <w:spacing w:after="0" w:line="240" w:lineRule="auto"/>
      <w:ind w:left="1680" w:hanging="240"/>
    </w:pPr>
  </w:style>
  <w:style w:type="paragraph" w:styleId="Index8">
    <w:name w:val="index 8"/>
    <w:basedOn w:val="Normal"/>
    <w:next w:val="Normal"/>
    <w:autoRedefine/>
    <w:rsid w:val="0067031F"/>
    <w:pPr>
      <w:spacing w:after="0" w:line="240" w:lineRule="auto"/>
      <w:ind w:left="1920" w:hanging="240"/>
    </w:pPr>
  </w:style>
  <w:style w:type="paragraph" w:styleId="Index9">
    <w:name w:val="index 9"/>
    <w:basedOn w:val="Normal"/>
    <w:next w:val="Normal"/>
    <w:autoRedefine/>
    <w:rsid w:val="0067031F"/>
    <w:pPr>
      <w:spacing w:after="0" w:line="240" w:lineRule="auto"/>
      <w:ind w:left="2160" w:hanging="240"/>
    </w:pPr>
  </w:style>
  <w:style w:type="paragraph" w:styleId="BodyText2">
    <w:name w:val="Body Text 2"/>
    <w:basedOn w:val="Normal"/>
    <w:link w:val="BodyText2Char"/>
    <w:rsid w:val="0067031F"/>
    <w:pPr>
      <w:spacing w:line="480" w:lineRule="auto"/>
    </w:pPr>
  </w:style>
  <w:style w:type="character" w:customStyle="1" w:styleId="BodyText2Char">
    <w:name w:val="Body Text 2 Char"/>
    <w:basedOn w:val="DefaultParagraphFont"/>
    <w:link w:val="BodyText2"/>
    <w:rsid w:val="0067031F"/>
    <w:rPr>
      <w:sz w:val="24"/>
      <w:szCs w:val="24"/>
    </w:rPr>
  </w:style>
  <w:style w:type="paragraph" w:styleId="BodyText3">
    <w:name w:val="Body Text 3"/>
    <w:basedOn w:val="Normal"/>
    <w:link w:val="BodyText3Char"/>
    <w:rsid w:val="0067031F"/>
    <w:rPr>
      <w:sz w:val="16"/>
      <w:szCs w:val="16"/>
    </w:rPr>
  </w:style>
  <w:style w:type="character" w:customStyle="1" w:styleId="BodyText3Char">
    <w:name w:val="Body Text 3 Char"/>
    <w:basedOn w:val="DefaultParagraphFont"/>
    <w:link w:val="BodyText3"/>
    <w:rsid w:val="0067031F"/>
    <w:rPr>
      <w:sz w:val="16"/>
      <w:szCs w:val="16"/>
    </w:rPr>
  </w:style>
  <w:style w:type="paragraph" w:styleId="BodyText">
    <w:name w:val="Body Text"/>
    <w:basedOn w:val="Normal"/>
    <w:link w:val="BodyTextChar"/>
    <w:rsid w:val="0067031F"/>
  </w:style>
  <w:style w:type="character" w:customStyle="1" w:styleId="BodyTextChar">
    <w:name w:val="Body Text Char"/>
    <w:basedOn w:val="DefaultParagraphFont"/>
    <w:link w:val="BodyText"/>
    <w:rsid w:val="0067031F"/>
    <w:rPr>
      <w:sz w:val="24"/>
      <w:szCs w:val="24"/>
    </w:rPr>
  </w:style>
  <w:style w:type="paragraph" w:styleId="BodyTextFirstIndent">
    <w:name w:val="Body Text First Indent"/>
    <w:basedOn w:val="BodyText"/>
    <w:link w:val="BodyTextFirstIndentChar"/>
    <w:rsid w:val="0067031F"/>
    <w:pPr>
      <w:ind w:firstLine="360"/>
    </w:pPr>
  </w:style>
  <w:style w:type="character" w:customStyle="1" w:styleId="BodyTextFirstIndentChar">
    <w:name w:val="Body Text First Indent Char"/>
    <w:basedOn w:val="BodyTextChar"/>
    <w:link w:val="BodyTextFirstIndent"/>
    <w:rsid w:val="0067031F"/>
    <w:rPr>
      <w:sz w:val="24"/>
      <w:szCs w:val="24"/>
    </w:rPr>
  </w:style>
  <w:style w:type="paragraph" w:styleId="BodyTextIndent">
    <w:name w:val="Body Text Indent"/>
    <w:basedOn w:val="Normal"/>
    <w:link w:val="BodyTextIndentChar"/>
    <w:rsid w:val="0067031F"/>
    <w:pPr>
      <w:ind w:left="360"/>
    </w:pPr>
  </w:style>
  <w:style w:type="character" w:customStyle="1" w:styleId="BodyTextIndentChar">
    <w:name w:val="Body Text Indent Char"/>
    <w:basedOn w:val="DefaultParagraphFont"/>
    <w:link w:val="BodyTextIndent"/>
    <w:rsid w:val="0067031F"/>
    <w:rPr>
      <w:sz w:val="24"/>
      <w:szCs w:val="24"/>
    </w:rPr>
  </w:style>
  <w:style w:type="paragraph" w:styleId="BodyTextIndent2">
    <w:name w:val="Body Text Indent 2"/>
    <w:basedOn w:val="Normal"/>
    <w:link w:val="BodyTextIndent2Char"/>
    <w:rsid w:val="0067031F"/>
    <w:pPr>
      <w:spacing w:line="480" w:lineRule="auto"/>
      <w:ind w:left="360"/>
    </w:pPr>
  </w:style>
  <w:style w:type="character" w:customStyle="1" w:styleId="BodyTextIndent2Char">
    <w:name w:val="Body Text Indent 2 Char"/>
    <w:basedOn w:val="DefaultParagraphFont"/>
    <w:link w:val="BodyTextIndent2"/>
    <w:rsid w:val="0067031F"/>
    <w:rPr>
      <w:sz w:val="24"/>
      <w:szCs w:val="24"/>
    </w:rPr>
  </w:style>
  <w:style w:type="paragraph" w:styleId="BodyTextIndent3">
    <w:name w:val="Body Text Indent 3"/>
    <w:basedOn w:val="Normal"/>
    <w:link w:val="BodyTextIndent3Char"/>
    <w:rsid w:val="0067031F"/>
    <w:pPr>
      <w:ind w:left="360"/>
    </w:pPr>
    <w:rPr>
      <w:sz w:val="16"/>
      <w:szCs w:val="16"/>
    </w:rPr>
  </w:style>
  <w:style w:type="character" w:customStyle="1" w:styleId="BodyTextIndent3Char">
    <w:name w:val="Body Text Indent 3 Char"/>
    <w:basedOn w:val="DefaultParagraphFont"/>
    <w:link w:val="BodyTextIndent3"/>
    <w:rsid w:val="0067031F"/>
    <w:rPr>
      <w:sz w:val="16"/>
      <w:szCs w:val="16"/>
    </w:rPr>
  </w:style>
  <w:style w:type="paragraph" w:styleId="Closing">
    <w:name w:val="Closing"/>
    <w:basedOn w:val="Normal"/>
    <w:link w:val="ClosingChar"/>
    <w:rsid w:val="0067031F"/>
    <w:pPr>
      <w:spacing w:after="0" w:line="240" w:lineRule="auto"/>
      <w:ind w:left="4320"/>
    </w:pPr>
  </w:style>
  <w:style w:type="character" w:customStyle="1" w:styleId="ClosingChar">
    <w:name w:val="Closing Char"/>
    <w:basedOn w:val="DefaultParagraphFont"/>
    <w:link w:val="Closing"/>
    <w:rsid w:val="0067031F"/>
    <w:rPr>
      <w:sz w:val="24"/>
      <w:szCs w:val="24"/>
    </w:rPr>
  </w:style>
  <w:style w:type="paragraph" w:styleId="ListParagraph">
    <w:name w:val="List Paragraph"/>
    <w:basedOn w:val="Normal"/>
    <w:uiPriority w:val="34"/>
    <w:rsid w:val="0067031F"/>
    <w:pPr>
      <w:ind w:left="720"/>
      <w:contextualSpacing/>
    </w:pPr>
  </w:style>
  <w:style w:type="paragraph" w:styleId="Revision">
    <w:name w:val="Revision"/>
    <w:hidden/>
    <w:uiPriority w:val="99"/>
    <w:semiHidden/>
    <w:rsid w:val="00F86A3B"/>
    <w:rPr>
      <w:sz w:val="24"/>
      <w:szCs w:val="24"/>
    </w:rPr>
  </w:style>
  <w:style w:type="paragraph" w:styleId="NormalWeb">
    <w:name w:val="Normal (Web)"/>
    <w:basedOn w:val="Normal"/>
    <w:uiPriority w:val="99"/>
    <w:unhideWhenUsed/>
    <w:rsid w:val="00385978"/>
    <w:pPr>
      <w:spacing w:before="100" w:beforeAutospacing="1" w:after="100" w:afterAutospacing="1" w:line="240" w:lineRule="auto"/>
      <w:ind w:firstLine="0"/>
      <w:jc w:val="left"/>
    </w:pPr>
  </w:style>
  <w:style w:type="character" w:styleId="CommentReference">
    <w:name w:val="annotation reference"/>
    <w:basedOn w:val="DefaultParagraphFont"/>
    <w:rsid w:val="0020788E"/>
    <w:rPr>
      <w:sz w:val="16"/>
      <w:szCs w:val="16"/>
    </w:rPr>
  </w:style>
  <w:style w:type="paragraph" w:styleId="CommentText">
    <w:name w:val="annotation text"/>
    <w:basedOn w:val="Normal"/>
    <w:link w:val="CommentTextChar"/>
    <w:rsid w:val="0020788E"/>
    <w:pPr>
      <w:spacing w:line="240" w:lineRule="auto"/>
    </w:pPr>
    <w:rPr>
      <w:sz w:val="20"/>
      <w:szCs w:val="20"/>
    </w:rPr>
  </w:style>
  <w:style w:type="character" w:customStyle="1" w:styleId="CommentTextChar">
    <w:name w:val="Comment Text Char"/>
    <w:basedOn w:val="DefaultParagraphFont"/>
    <w:link w:val="CommentText"/>
    <w:rsid w:val="0020788E"/>
  </w:style>
  <w:style w:type="paragraph" w:styleId="CommentSubject">
    <w:name w:val="annotation subject"/>
    <w:basedOn w:val="CommentText"/>
    <w:next w:val="CommentText"/>
    <w:link w:val="CommentSubjectChar"/>
    <w:rsid w:val="0020788E"/>
    <w:rPr>
      <w:b/>
      <w:bCs/>
    </w:rPr>
  </w:style>
  <w:style w:type="character" w:customStyle="1" w:styleId="CommentSubjectChar">
    <w:name w:val="Comment Subject Char"/>
    <w:basedOn w:val="CommentTextChar"/>
    <w:link w:val="CommentSubject"/>
    <w:rsid w:val="002078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4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FF3CC8AC404939B842BCA3F49D7FD5"/>
        <w:category>
          <w:name w:val="General"/>
          <w:gallery w:val="placeholder"/>
        </w:category>
        <w:types>
          <w:type w:val="bbPlcHdr"/>
        </w:types>
        <w:behaviors>
          <w:behavior w:val="content"/>
        </w:behaviors>
        <w:guid w:val="{67AA3A04-F741-4B66-AC89-2CB41640F017}"/>
      </w:docPartPr>
      <w:docPartBody>
        <w:p w:rsidR="00507F08" w:rsidRDefault="00507F08">
          <w:pPr>
            <w:pStyle w:val="84FF3CC8AC404939B842BCA3F49D7FD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08"/>
    <w:rsid w:val="00507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7F08"/>
    <w:rPr>
      <w:color w:val="808080"/>
    </w:rPr>
  </w:style>
  <w:style w:type="paragraph" w:customStyle="1" w:styleId="84FF3CC8AC404939B842BCA3F49D7FD5">
    <w:name w:val="84FF3CC8AC404939B842BCA3F49D7F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996</Words>
  <Characters>5402</Characters>
  <Application>Microsoft Office Word</Application>
  <DocSecurity>0</DocSecurity>
  <Lines>45</Lines>
  <Paragraphs>12</Paragraphs>
  <ScaleCrop>false</ScaleCrop>
  <Manager/>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2024-09-19T17:01:00Z</dcterms:created>
  <dcterms:modified xsi:type="dcterms:W3CDTF">2024-09-19T17:01:00Z</dcterms:modified>
</cp:coreProperties>
</file>